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0049" w14:textId="7AF612AF" w:rsidR="005B5F53" w:rsidRPr="005B5F53" w:rsidRDefault="00C05E5F" w:rsidP="005B5F53">
      <w:pPr>
        <w:rPr>
          <w:b/>
          <w:bCs/>
        </w:rPr>
      </w:pPr>
      <w:r>
        <w:rPr>
          <w:b/>
          <w:bCs/>
        </w:rPr>
        <w:t xml:space="preserve">Introducing the </w:t>
      </w:r>
      <w:proofErr w:type="spellStart"/>
      <w:r w:rsidR="005B5F53" w:rsidRPr="005B5F53">
        <w:rPr>
          <w:b/>
          <w:bCs/>
        </w:rPr>
        <w:t>FedExCup</w:t>
      </w:r>
      <w:proofErr w:type="spellEnd"/>
      <w:r w:rsidR="005B5F53" w:rsidRPr="005B5F53">
        <w:rPr>
          <w:b/>
          <w:bCs/>
        </w:rPr>
        <w:t xml:space="preserve"> Fall</w:t>
      </w:r>
    </w:p>
    <w:p w14:paraId="2CEC9643" w14:textId="0CCA54B0" w:rsidR="00266155" w:rsidRDefault="00DF6F79" w:rsidP="00266155">
      <w:pPr>
        <w:spacing w:line="240" w:lineRule="auto"/>
      </w:pPr>
      <w:r>
        <w:t xml:space="preserve">New to the PGA </w:t>
      </w:r>
      <w:r w:rsidR="00695DC6">
        <w:t>TOUR</w:t>
      </w:r>
      <w:r>
        <w:t xml:space="preserve"> schedule, the </w:t>
      </w:r>
      <w:proofErr w:type="spellStart"/>
      <w:r>
        <w:t>FedExCup</w:t>
      </w:r>
      <w:proofErr w:type="spellEnd"/>
      <w:r>
        <w:t xml:space="preserve"> Fall </w:t>
      </w:r>
      <w:r w:rsidR="00813E45">
        <w:t xml:space="preserve">made </w:t>
      </w:r>
      <w:r w:rsidR="00AA378D">
        <w:t>its</w:t>
      </w:r>
      <w:r w:rsidR="00813E45">
        <w:t xml:space="preserve"> debut</w:t>
      </w:r>
      <w:r w:rsidR="00EC54C2">
        <w:t xml:space="preserve"> </w:t>
      </w:r>
      <w:r w:rsidR="00BC534B">
        <w:t xml:space="preserve">in 2023. The new </w:t>
      </w:r>
      <w:r w:rsidR="00B04A32">
        <w:t xml:space="preserve">fall </w:t>
      </w:r>
      <w:r w:rsidR="00C42DB4">
        <w:t xml:space="preserve">schedule </w:t>
      </w:r>
      <w:r w:rsidR="00BC534B">
        <w:t>consist</w:t>
      </w:r>
      <w:r w:rsidR="00813E45">
        <w:t>s</w:t>
      </w:r>
      <w:r w:rsidR="00BC534B">
        <w:t xml:space="preserve"> of seven </w:t>
      </w:r>
      <w:r w:rsidR="00101B24">
        <w:t>events and</w:t>
      </w:r>
      <w:r w:rsidR="006558E7">
        <w:t xml:space="preserve"> </w:t>
      </w:r>
      <w:r w:rsidR="00813E45">
        <w:t>these tournaments are</w:t>
      </w:r>
      <w:r w:rsidR="006558E7">
        <w:t xml:space="preserve"> the deter</w:t>
      </w:r>
      <w:r w:rsidR="00396349">
        <w:t xml:space="preserve">mining factor in </w:t>
      </w:r>
      <w:r w:rsidR="00101B24">
        <w:t>players r</w:t>
      </w:r>
      <w:r w:rsidR="00266155">
        <w:t>etaining</w:t>
      </w:r>
      <w:r w:rsidR="002C346A">
        <w:t xml:space="preserve"> </w:t>
      </w:r>
      <w:r w:rsidR="00467AA3">
        <w:t>their PGA</w:t>
      </w:r>
      <w:r w:rsidR="00266155">
        <w:t xml:space="preserve"> </w:t>
      </w:r>
      <w:r w:rsidR="00695DC6">
        <w:t>TOUR</w:t>
      </w:r>
      <w:r w:rsidR="00266155">
        <w:t xml:space="preserve"> cards for the 2024 season. </w:t>
      </w:r>
    </w:p>
    <w:p w14:paraId="0BE39741" w14:textId="7C50FE87" w:rsidR="00B043CF" w:rsidRDefault="00EA088B" w:rsidP="00266155">
      <w:pPr>
        <w:spacing w:line="240" w:lineRule="auto"/>
        <w:rPr>
          <w:b/>
          <w:bCs/>
        </w:rPr>
      </w:pPr>
      <w:proofErr w:type="spellStart"/>
      <w:r w:rsidRPr="00EA088B">
        <w:rPr>
          <w:b/>
          <w:bCs/>
        </w:rPr>
        <w:t>FedExCup</w:t>
      </w:r>
      <w:proofErr w:type="spellEnd"/>
      <w:r w:rsidRPr="00EA088B">
        <w:rPr>
          <w:b/>
          <w:bCs/>
        </w:rPr>
        <w:t xml:space="preserve"> Fall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870"/>
      </w:tblGrid>
      <w:tr w:rsidR="00813E45" w14:paraId="1D2265A3" w14:textId="77777777" w:rsidTr="00813E45">
        <w:tc>
          <w:tcPr>
            <w:tcW w:w="2605" w:type="dxa"/>
          </w:tcPr>
          <w:p w14:paraId="1A0AA111" w14:textId="24A67947" w:rsidR="00813E45" w:rsidRPr="00813E45" w:rsidRDefault="00813E45" w:rsidP="00266155">
            <w:r w:rsidRPr="00813E45">
              <w:t>September 11 – 17</w:t>
            </w:r>
          </w:p>
        </w:tc>
        <w:tc>
          <w:tcPr>
            <w:tcW w:w="3870" w:type="dxa"/>
          </w:tcPr>
          <w:p w14:paraId="24D1BBE7" w14:textId="6B65ED51" w:rsidR="00813E45" w:rsidRPr="00813E45" w:rsidRDefault="00813E45" w:rsidP="00266155">
            <w:r w:rsidRPr="00813E45">
              <w:t>Fortinet Championship</w:t>
            </w:r>
          </w:p>
        </w:tc>
      </w:tr>
      <w:tr w:rsidR="00813E45" w14:paraId="608E1A59" w14:textId="77777777" w:rsidTr="00813E45">
        <w:tc>
          <w:tcPr>
            <w:tcW w:w="2605" w:type="dxa"/>
          </w:tcPr>
          <w:p w14:paraId="4BA1D417" w14:textId="2705E934" w:rsidR="00813E45" w:rsidRPr="00813E45" w:rsidRDefault="00813E45" w:rsidP="00266155">
            <w:r w:rsidRPr="00813E45">
              <w:t>October 2 – 8</w:t>
            </w:r>
          </w:p>
        </w:tc>
        <w:tc>
          <w:tcPr>
            <w:tcW w:w="3870" w:type="dxa"/>
          </w:tcPr>
          <w:p w14:paraId="1A5240D6" w14:textId="4AA55DC0" w:rsidR="00813E45" w:rsidRPr="00813E45" w:rsidRDefault="00813E45" w:rsidP="00266155">
            <w:r w:rsidRPr="00813E45">
              <w:t>Sanderson Farms Championship</w:t>
            </w:r>
          </w:p>
        </w:tc>
      </w:tr>
      <w:tr w:rsidR="00813E45" w14:paraId="3C3F6EE0" w14:textId="77777777" w:rsidTr="00813E45">
        <w:tc>
          <w:tcPr>
            <w:tcW w:w="2605" w:type="dxa"/>
          </w:tcPr>
          <w:p w14:paraId="4695A28C" w14:textId="797AB9A7" w:rsidR="00813E45" w:rsidRPr="00813E45" w:rsidRDefault="00813E45" w:rsidP="00266155">
            <w:r w:rsidRPr="00813E45">
              <w:t>October 9 – 15</w:t>
            </w:r>
          </w:p>
        </w:tc>
        <w:tc>
          <w:tcPr>
            <w:tcW w:w="3870" w:type="dxa"/>
          </w:tcPr>
          <w:p w14:paraId="7589A302" w14:textId="491FA49A" w:rsidR="00813E45" w:rsidRPr="00813E45" w:rsidRDefault="00813E45" w:rsidP="00266155">
            <w:r w:rsidRPr="00813E45">
              <w:t>Shriners Children’s Open</w:t>
            </w:r>
          </w:p>
        </w:tc>
      </w:tr>
      <w:tr w:rsidR="00813E45" w14:paraId="456F8A0D" w14:textId="77777777" w:rsidTr="00813E45">
        <w:tc>
          <w:tcPr>
            <w:tcW w:w="2605" w:type="dxa"/>
          </w:tcPr>
          <w:p w14:paraId="688D579F" w14:textId="6C4E6E05" w:rsidR="00813E45" w:rsidRPr="00813E45" w:rsidRDefault="00813E45" w:rsidP="00266155">
            <w:r w:rsidRPr="00813E45">
              <w:t>October 16 – 22</w:t>
            </w:r>
          </w:p>
        </w:tc>
        <w:tc>
          <w:tcPr>
            <w:tcW w:w="3870" w:type="dxa"/>
          </w:tcPr>
          <w:p w14:paraId="11675D36" w14:textId="2FAA38A2" w:rsidR="00813E45" w:rsidRPr="00813E45" w:rsidRDefault="00813E45" w:rsidP="00266155">
            <w:r w:rsidRPr="00813E45">
              <w:t>ZOZO Championship</w:t>
            </w:r>
          </w:p>
        </w:tc>
      </w:tr>
      <w:tr w:rsidR="00813E45" w14:paraId="52E3E4E6" w14:textId="77777777" w:rsidTr="00813E45">
        <w:tc>
          <w:tcPr>
            <w:tcW w:w="2605" w:type="dxa"/>
          </w:tcPr>
          <w:p w14:paraId="630FFFB8" w14:textId="4DC0A0F3" w:rsidR="00813E45" w:rsidRPr="00813E45" w:rsidRDefault="00813E45" w:rsidP="00266155">
            <w:r w:rsidRPr="00813E45">
              <w:t>October 30 – November 5</w:t>
            </w:r>
          </w:p>
        </w:tc>
        <w:tc>
          <w:tcPr>
            <w:tcW w:w="3870" w:type="dxa"/>
          </w:tcPr>
          <w:p w14:paraId="77D21E5E" w14:textId="1A8CD5AB" w:rsidR="00813E45" w:rsidRPr="00813E45" w:rsidRDefault="00813E45" w:rsidP="00266155">
            <w:r w:rsidRPr="00813E45">
              <w:t>World</w:t>
            </w:r>
            <w:r w:rsidR="00A817A4">
              <w:t xml:space="preserve"> </w:t>
            </w:r>
            <w:r w:rsidRPr="00813E45">
              <w:t>Wide Technology Championship</w:t>
            </w:r>
          </w:p>
        </w:tc>
      </w:tr>
      <w:tr w:rsidR="00813E45" w14:paraId="1C343DAD" w14:textId="77777777" w:rsidTr="00813E45">
        <w:tc>
          <w:tcPr>
            <w:tcW w:w="2605" w:type="dxa"/>
          </w:tcPr>
          <w:p w14:paraId="0BD12300" w14:textId="75BD9793" w:rsidR="00813E45" w:rsidRPr="00813E45" w:rsidRDefault="00813E45" w:rsidP="00266155">
            <w:r w:rsidRPr="00813E45">
              <w:t>November 6 – 12</w:t>
            </w:r>
          </w:p>
        </w:tc>
        <w:tc>
          <w:tcPr>
            <w:tcW w:w="3870" w:type="dxa"/>
          </w:tcPr>
          <w:p w14:paraId="71386980" w14:textId="0F06FEE3" w:rsidR="00813E45" w:rsidRPr="00813E45" w:rsidRDefault="00813E45" w:rsidP="00266155">
            <w:r w:rsidRPr="00813E45">
              <w:t>Butterfield Bermuda Championship</w:t>
            </w:r>
          </w:p>
        </w:tc>
      </w:tr>
      <w:tr w:rsidR="00813E45" w14:paraId="5695CC64" w14:textId="77777777" w:rsidTr="00813E45">
        <w:tc>
          <w:tcPr>
            <w:tcW w:w="2605" w:type="dxa"/>
          </w:tcPr>
          <w:p w14:paraId="1B2ED829" w14:textId="3DB1F6FB" w:rsidR="00813E45" w:rsidRPr="00813E45" w:rsidRDefault="00813E45" w:rsidP="00266155">
            <w:r w:rsidRPr="00813E45">
              <w:t>November 13 – 19</w:t>
            </w:r>
          </w:p>
        </w:tc>
        <w:tc>
          <w:tcPr>
            <w:tcW w:w="3870" w:type="dxa"/>
          </w:tcPr>
          <w:p w14:paraId="6F276D37" w14:textId="3DB85132" w:rsidR="00813E45" w:rsidRPr="00813E45" w:rsidRDefault="00813E45" w:rsidP="00266155">
            <w:r w:rsidRPr="00813E45">
              <w:t>The RSM Classic</w:t>
            </w:r>
          </w:p>
        </w:tc>
      </w:tr>
    </w:tbl>
    <w:p w14:paraId="7599B89F" w14:textId="77777777" w:rsidR="00622270" w:rsidRDefault="00622270" w:rsidP="00266155">
      <w:pPr>
        <w:spacing w:line="240" w:lineRule="auto"/>
      </w:pPr>
    </w:p>
    <w:p w14:paraId="16B8D7EB" w14:textId="4C125F8B" w:rsidR="004708FA" w:rsidRDefault="004708FA" w:rsidP="00266155">
      <w:pPr>
        <w:spacing w:line="240" w:lineRule="auto"/>
      </w:pPr>
      <w:r>
        <w:t>While many of th</w:t>
      </w:r>
      <w:r w:rsidR="004214C5">
        <w:t xml:space="preserve">ese events have been on the PGA </w:t>
      </w:r>
      <w:r w:rsidR="00695DC6">
        <w:t>TOUR</w:t>
      </w:r>
      <w:r w:rsidR="004214C5">
        <w:t xml:space="preserve"> schedule previously, their status holds m</w:t>
      </w:r>
      <w:r w:rsidR="0046445E">
        <w:t xml:space="preserve">ore weight in 2023. Players who did not finish within the top 70 in </w:t>
      </w:r>
      <w:r w:rsidR="00A74A60">
        <w:t xml:space="preserve">the </w:t>
      </w:r>
      <w:r w:rsidR="0046445E">
        <w:t xml:space="preserve">2023 </w:t>
      </w:r>
      <w:proofErr w:type="spellStart"/>
      <w:r w:rsidR="0046445E">
        <w:t>FedExCup</w:t>
      </w:r>
      <w:proofErr w:type="spellEnd"/>
      <w:r w:rsidR="0046445E">
        <w:t xml:space="preserve"> </w:t>
      </w:r>
      <w:r w:rsidR="007B364F">
        <w:t xml:space="preserve">will retain their points </w:t>
      </w:r>
      <w:r w:rsidR="00F272AF">
        <w:t>and</w:t>
      </w:r>
      <w:r w:rsidR="0046445E">
        <w:t xml:space="preserve"> </w:t>
      </w:r>
      <w:r w:rsidR="00992087">
        <w:t xml:space="preserve">play the </w:t>
      </w:r>
      <w:proofErr w:type="spellStart"/>
      <w:r w:rsidR="00992087">
        <w:t>FedExCup</w:t>
      </w:r>
      <w:proofErr w:type="spellEnd"/>
      <w:r w:rsidR="00992087">
        <w:t xml:space="preserve"> Fall events to </w:t>
      </w:r>
      <w:r w:rsidR="001A5B69">
        <w:t xml:space="preserve">determine </w:t>
      </w:r>
      <w:r w:rsidR="00992087">
        <w:t>their position</w:t>
      </w:r>
      <w:r w:rsidR="004E6C07">
        <w:t>ing for the 2024 season.</w:t>
      </w:r>
      <w:r w:rsidR="00835D50">
        <w:t xml:space="preserve"> </w:t>
      </w:r>
      <w:r w:rsidR="0086211C">
        <w:t>Also, players who finished between 51-70 carry</w:t>
      </w:r>
      <w:r w:rsidR="00913F7A">
        <w:t xml:space="preserve"> over their points </w:t>
      </w:r>
      <w:r w:rsidR="00EE00D6">
        <w:t xml:space="preserve">from the 2023 </w:t>
      </w:r>
      <w:r w:rsidR="00913F7A">
        <w:t>season</w:t>
      </w:r>
      <w:r w:rsidR="00B04A32">
        <w:t xml:space="preserve"> into the fall</w:t>
      </w:r>
      <w:r w:rsidR="00EE00D6">
        <w:t xml:space="preserve"> </w:t>
      </w:r>
      <w:r w:rsidR="00913F7A">
        <w:t xml:space="preserve">to earn </w:t>
      </w:r>
      <w:r w:rsidR="00FD4E55">
        <w:t xml:space="preserve">spots </w:t>
      </w:r>
      <w:r w:rsidR="00913F7A">
        <w:t>in</w:t>
      </w:r>
      <w:r w:rsidR="00CF334E">
        <w:t xml:space="preserve"> the </w:t>
      </w:r>
      <w:r w:rsidR="001128E8">
        <w:t xml:space="preserve">first two </w:t>
      </w:r>
      <w:r w:rsidR="008F742D">
        <w:t xml:space="preserve">Signature </w:t>
      </w:r>
      <w:r w:rsidR="00CF334E">
        <w:t>Events following the Sentry Tournament of Champions</w:t>
      </w:r>
      <w:r w:rsidR="00813E45">
        <w:t xml:space="preserve"> in January</w:t>
      </w:r>
      <w:r w:rsidR="00CF334E">
        <w:t>.</w:t>
      </w:r>
    </w:p>
    <w:p w14:paraId="2454D546" w14:textId="77E83D52" w:rsidR="004E6C07" w:rsidRDefault="002926C6" w:rsidP="00266155">
      <w:pPr>
        <w:spacing w:line="240" w:lineRule="auto"/>
      </w:pPr>
      <w:r>
        <w:t xml:space="preserve">Winners of </w:t>
      </w:r>
      <w:proofErr w:type="spellStart"/>
      <w:r>
        <w:t>FedExCup</w:t>
      </w:r>
      <w:proofErr w:type="spellEnd"/>
      <w:r>
        <w:t xml:space="preserve"> Fall events will </w:t>
      </w:r>
      <w:r w:rsidR="00200B72">
        <w:t xml:space="preserve">receive a </w:t>
      </w:r>
      <w:r w:rsidR="008B16A3">
        <w:t>two-year</w:t>
      </w:r>
      <w:r w:rsidR="00200B72">
        <w:t xml:space="preserve"> PGA </w:t>
      </w:r>
      <w:r w:rsidR="00695DC6">
        <w:t>TOUR</w:t>
      </w:r>
      <w:r w:rsidR="00200B72">
        <w:t xml:space="preserve"> exemption, 500 </w:t>
      </w:r>
      <w:proofErr w:type="spellStart"/>
      <w:r w:rsidR="00200B72">
        <w:t>FedExCup</w:t>
      </w:r>
      <w:proofErr w:type="spellEnd"/>
      <w:r w:rsidR="00200B72">
        <w:t xml:space="preserve"> </w:t>
      </w:r>
      <w:r w:rsidR="00813E45">
        <w:t>p</w:t>
      </w:r>
      <w:r w:rsidR="00200B72">
        <w:t xml:space="preserve">oints, and </w:t>
      </w:r>
      <w:r w:rsidR="00046CFB">
        <w:t xml:space="preserve">a </w:t>
      </w:r>
      <w:r w:rsidR="0008672F">
        <w:t>spot in the Sentry Tournament of Champions, THE PLAYERS Championship, The Masters, and the PGA Championship</w:t>
      </w:r>
      <w:r w:rsidR="00813E45">
        <w:t xml:space="preserve">. </w:t>
      </w:r>
      <w:r w:rsidR="00DF7B25">
        <w:t>At</w:t>
      </w:r>
      <w:r w:rsidR="00FE4BD2">
        <w:t xml:space="preserve"> the </w:t>
      </w:r>
      <w:r w:rsidR="00813E45">
        <w:t xml:space="preserve">end </w:t>
      </w:r>
      <w:r w:rsidR="00FE4BD2">
        <w:t xml:space="preserve">of the </w:t>
      </w:r>
      <w:proofErr w:type="spellStart"/>
      <w:r w:rsidR="00FE4BD2">
        <w:t>FedExCup</w:t>
      </w:r>
      <w:proofErr w:type="spellEnd"/>
      <w:r w:rsidR="00FE4BD2">
        <w:t xml:space="preserve"> Fall events, </w:t>
      </w:r>
      <w:r w:rsidR="00813E45">
        <w:t xml:space="preserve">which conclude at The RSM Classic, </w:t>
      </w:r>
      <w:r w:rsidR="00A979D4">
        <w:t>all points will be finalized for those who finished outside the top 70</w:t>
      </w:r>
      <w:r w:rsidR="000B4293">
        <w:t xml:space="preserve">, and </w:t>
      </w:r>
      <w:r w:rsidR="00813E45">
        <w:t>these players’</w:t>
      </w:r>
      <w:r w:rsidR="000B4293">
        <w:t xml:space="preserve"> 2024 </w:t>
      </w:r>
      <w:r w:rsidR="00BD773D">
        <w:t>status</w:t>
      </w:r>
      <w:r w:rsidR="000B4293">
        <w:t xml:space="preserve"> will be decided.</w:t>
      </w:r>
    </w:p>
    <w:p w14:paraId="27651CB3" w14:textId="5E352F2A" w:rsidR="000B4293" w:rsidRDefault="000B4293" w:rsidP="00266155">
      <w:pPr>
        <w:spacing w:line="240" w:lineRule="auto"/>
        <w:rPr>
          <w:b/>
          <w:bCs/>
        </w:rPr>
      </w:pPr>
      <w:proofErr w:type="spellStart"/>
      <w:r w:rsidRPr="000B4293">
        <w:rPr>
          <w:b/>
          <w:bCs/>
        </w:rPr>
        <w:t>FedExCup</w:t>
      </w:r>
      <w:proofErr w:type="spellEnd"/>
      <w:r w:rsidRPr="000B4293">
        <w:rPr>
          <w:b/>
          <w:bCs/>
        </w:rPr>
        <w:t xml:space="preserve"> Points Breakdown</w:t>
      </w:r>
      <w:r w:rsidR="00470DA9">
        <w:rPr>
          <w:b/>
          <w:bCs/>
        </w:rPr>
        <w:t xml:space="preserve"> </w:t>
      </w:r>
      <w:r w:rsidR="00D95F1F">
        <w:rPr>
          <w:b/>
          <w:bCs/>
        </w:rPr>
        <w:t xml:space="preserve">at conclusion of </w:t>
      </w:r>
      <w:proofErr w:type="spellStart"/>
      <w:r w:rsidR="00D95F1F">
        <w:rPr>
          <w:b/>
          <w:bCs/>
        </w:rPr>
        <w:t>FedExCup</w:t>
      </w:r>
      <w:proofErr w:type="spellEnd"/>
      <w:r w:rsidR="00D95F1F">
        <w:rPr>
          <w:b/>
          <w:bCs/>
        </w:rPr>
        <w:t xml:space="preserve"> Fall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622270" w14:paraId="4446ACC9" w14:textId="77777777" w:rsidTr="00622270">
        <w:tc>
          <w:tcPr>
            <w:tcW w:w="2605" w:type="dxa"/>
          </w:tcPr>
          <w:p w14:paraId="404CD9D6" w14:textId="2CAC9C60" w:rsidR="00622270" w:rsidRDefault="00622270" w:rsidP="00266155">
            <w:r>
              <w:t>Top 30 (Pre-determined)</w:t>
            </w:r>
          </w:p>
        </w:tc>
        <w:tc>
          <w:tcPr>
            <w:tcW w:w="6745" w:type="dxa"/>
          </w:tcPr>
          <w:p w14:paraId="5F4DBC89" w14:textId="36AC6138" w:rsidR="00622270" w:rsidRDefault="00622270" w:rsidP="00266155">
            <w:r>
              <w:t>Two-year exemption on PGA TOUR</w:t>
            </w:r>
          </w:p>
        </w:tc>
      </w:tr>
      <w:tr w:rsidR="00622270" w14:paraId="267D0D6B" w14:textId="77777777" w:rsidTr="00622270">
        <w:tc>
          <w:tcPr>
            <w:tcW w:w="2605" w:type="dxa"/>
          </w:tcPr>
          <w:p w14:paraId="665F6CC4" w14:textId="12E1A805" w:rsidR="00622270" w:rsidRDefault="00622270" w:rsidP="00266155">
            <w:r>
              <w:t>Top 50 (Pre-determined)</w:t>
            </w:r>
          </w:p>
        </w:tc>
        <w:tc>
          <w:tcPr>
            <w:tcW w:w="6745" w:type="dxa"/>
          </w:tcPr>
          <w:p w14:paraId="75DC7B8F" w14:textId="238578B0" w:rsidR="00622270" w:rsidRDefault="00622270" w:rsidP="00266155">
            <w:r>
              <w:t xml:space="preserve">Retain PGA TOUR card; exempt for 2024 full-field and </w:t>
            </w:r>
            <w:r w:rsidR="00286EBF">
              <w:t>Signature Events</w:t>
            </w:r>
          </w:p>
        </w:tc>
      </w:tr>
      <w:tr w:rsidR="00622270" w14:paraId="6A36E4AB" w14:textId="77777777" w:rsidTr="00622270">
        <w:tc>
          <w:tcPr>
            <w:tcW w:w="2605" w:type="dxa"/>
          </w:tcPr>
          <w:p w14:paraId="26788E13" w14:textId="3457A8C1" w:rsidR="00622270" w:rsidRDefault="00622270" w:rsidP="00266155">
            <w:r>
              <w:t xml:space="preserve">Top 51 – 125 </w:t>
            </w:r>
          </w:p>
        </w:tc>
        <w:tc>
          <w:tcPr>
            <w:tcW w:w="6745" w:type="dxa"/>
          </w:tcPr>
          <w:p w14:paraId="79EF3E53" w14:textId="6B69CA15" w:rsidR="00622270" w:rsidRDefault="00622270" w:rsidP="00266155">
            <w:r>
              <w:t>Retain PGA TOUR card; exempt for 2024 full-field events</w:t>
            </w:r>
          </w:p>
        </w:tc>
      </w:tr>
      <w:tr w:rsidR="00622270" w14:paraId="0EA49D6B" w14:textId="77777777" w:rsidTr="00622270">
        <w:tc>
          <w:tcPr>
            <w:tcW w:w="2605" w:type="dxa"/>
          </w:tcPr>
          <w:p w14:paraId="56EF7153" w14:textId="7968FD0D" w:rsidR="00622270" w:rsidRDefault="00622270" w:rsidP="00266155">
            <w:r>
              <w:t>Top 126 – 150</w:t>
            </w:r>
          </w:p>
        </w:tc>
        <w:tc>
          <w:tcPr>
            <w:tcW w:w="6745" w:type="dxa"/>
          </w:tcPr>
          <w:p w14:paraId="3ADB6AFF" w14:textId="481A5756" w:rsidR="00622270" w:rsidRDefault="00622270" w:rsidP="00266155">
            <w:r>
              <w:t>Conditional PGA TOUR status for 2024 season</w:t>
            </w:r>
          </w:p>
        </w:tc>
      </w:tr>
    </w:tbl>
    <w:p w14:paraId="20266C26" w14:textId="05FD7853" w:rsidR="00280118" w:rsidRDefault="00280118" w:rsidP="00266155">
      <w:pPr>
        <w:spacing w:line="240" w:lineRule="auto"/>
      </w:pPr>
    </w:p>
    <w:p w14:paraId="35738AEB" w14:textId="5273C231" w:rsidR="00577340" w:rsidRDefault="00E3698E" w:rsidP="00266155">
      <w:pPr>
        <w:spacing w:line="240" w:lineRule="auto"/>
        <w:rPr>
          <w:b/>
          <w:bCs/>
        </w:rPr>
      </w:pPr>
      <w:bookmarkStart w:id="0" w:name="_Hlk144364802"/>
      <w:r w:rsidRPr="00E3698E">
        <w:rPr>
          <w:b/>
          <w:bCs/>
        </w:rPr>
        <w:t xml:space="preserve">What </w:t>
      </w:r>
      <w:r w:rsidR="0049428D">
        <w:rPr>
          <w:b/>
          <w:bCs/>
        </w:rPr>
        <w:t>i</w:t>
      </w:r>
      <w:r w:rsidRPr="00E3698E">
        <w:rPr>
          <w:b/>
          <w:bCs/>
        </w:rPr>
        <w:t xml:space="preserve">t means </w:t>
      </w:r>
      <w:r w:rsidR="005F08A6" w:rsidRPr="00E3698E">
        <w:rPr>
          <w:b/>
          <w:bCs/>
        </w:rPr>
        <w:t xml:space="preserve">for </w:t>
      </w:r>
      <w:r w:rsidR="00695DC6">
        <w:rPr>
          <w:b/>
          <w:bCs/>
        </w:rPr>
        <w:t>T</w:t>
      </w:r>
      <w:r w:rsidR="005F08A6">
        <w:rPr>
          <w:b/>
          <w:bCs/>
        </w:rPr>
        <w:t xml:space="preserve">he </w:t>
      </w:r>
      <w:r w:rsidRPr="00E3698E">
        <w:rPr>
          <w:b/>
          <w:bCs/>
        </w:rPr>
        <w:t>RSM Classic</w:t>
      </w:r>
    </w:p>
    <w:p w14:paraId="6070CACB" w14:textId="78312623" w:rsidR="00C62960" w:rsidRDefault="00E3698E" w:rsidP="00266155">
      <w:pPr>
        <w:spacing w:line="240" w:lineRule="auto"/>
      </w:pPr>
      <w:r>
        <w:t xml:space="preserve">One last chance. </w:t>
      </w:r>
    </w:p>
    <w:p w14:paraId="1090FFA8" w14:textId="1C5FC95A" w:rsidR="003F1D2C" w:rsidRDefault="003F1D2C" w:rsidP="00266155">
      <w:pPr>
        <w:spacing w:line="240" w:lineRule="auto"/>
      </w:pPr>
      <w:r>
        <w:t>Simply put, one final attempt for many of the world’s best to gain status o</w:t>
      </w:r>
      <w:r w:rsidR="007D67AB">
        <w:t xml:space="preserve">n the PGA </w:t>
      </w:r>
      <w:r w:rsidR="00695DC6">
        <w:t>TOUR</w:t>
      </w:r>
      <w:r w:rsidR="007D67AB">
        <w:t>.</w:t>
      </w:r>
    </w:p>
    <w:p w14:paraId="75BE3625" w14:textId="3DEDABDD" w:rsidR="00C46D92" w:rsidRDefault="00813E45" w:rsidP="00813E45">
      <w:r>
        <w:t xml:space="preserve">With the start of the </w:t>
      </w:r>
      <w:r w:rsidR="0049428D">
        <w:t xml:space="preserve">fall </w:t>
      </w:r>
      <w:r>
        <w:t xml:space="preserve">season at the Fortinet Championship in September, the PGA TOUR has returned to a calendar-year schedule, and the seven tournaments that follow the TOUR Championship have taken on a new significance. The </w:t>
      </w:r>
      <w:proofErr w:type="spellStart"/>
      <w:r>
        <w:t>FedExCup</w:t>
      </w:r>
      <w:proofErr w:type="spellEnd"/>
      <w:r>
        <w:t xml:space="preserve"> Fall promises to provide greater drama and more immediate consequence than ever before as players face off in high-stakes competition with their PGA TOUR status at stake.</w:t>
      </w:r>
      <w:r w:rsidR="00C46D92">
        <w:t xml:space="preserve"> </w:t>
      </w:r>
    </w:p>
    <w:p w14:paraId="69A94B6C" w14:textId="5C38EAFF" w:rsidR="00AC6479" w:rsidRDefault="00C46D92" w:rsidP="0001070F">
      <w:r>
        <w:t xml:space="preserve">Learn more </w:t>
      </w:r>
      <w:hyperlink r:id="rId5" w:history="1">
        <w:r w:rsidRPr="00C46D92">
          <w:rPr>
            <w:rStyle w:val="Hyperlink"/>
          </w:rPr>
          <w:t>here</w:t>
        </w:r>
      </w:hyperlink>
      <w:r>
        <w:t>.</w:t>
      </w:r>
      <w:bookmarkEnd w:id="0"/>
    </w:p>
    <w:sectPr w:rsidR="00A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1E4"/>
    <w:multiLevelType w:val="hybridMultilevel"/>
    <w:tmpl w:val="67BAB900"/>
    <w:lvl w:ilvl="0" w:tplc="576E9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4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1A"/>
    <w:rsid w:val="0000175B"/>
    <w:rsid w:val="00003FE4"/>
    <w:rsid w:val="0001070F"/>
    <w:rsid w:val="0003180F"/>
    <w:rsid w:val="00046CFB"/>
    <w:rsid w:val="00052756"/>
    <w:rsid w:val="000824DC"/>
    <w:rsid w:val="0008672F"/>
    <w:rsid w:val="000937F1"/>
    <w:rsid w:val="000976D7"/>
    <w:rsid w:val="000B4293"/>
    <w:rsid w:val="000B6F23"/>
    <w:rsid w:val="000D043A"/>
    <w:rsid w:val="000E167A"/>
    <w:rsid w:val="000E1ACF"/>
    <w:rsid w:val="000E58A2"/>
    <w:rsid w:val="000F1F63"/>
    <w:rsid w:val="00101B24"/>
    <w:rsid w:val="00105E0E"/>
    <w:rsid w:val="001062F9"/>
    <w:rsid w:val="001128E8"/>
    <w:rsid w:val="00153DB5"/>
    <w:rsid w:val="00154179"/>
    <w:rsid w:val="001707F5"/>
    <w:rsid w:val="001765AF"/>
    <w:rsid w:val="001A284D"/>
    <w:rsid w:val="001A3D08"/>
    <w:rsid w:val="001A3E44"/>
    <w:rsid w:val="001A5B69"/>
    <w:rsid w:val="001D1944"/>
    <w:rsid w:val="001E6D25"/>
    <w:rsid w:val="001F088A"/>
    <w:rsid w:val="00200B72"/>
    <w:rsid w:val="00206910"/>
    <w:rsid w:val="002345CB"/>
    <w:rsid w:val="00237031"/>
    <w:rsid w:val="00246893"/>
    <w:rsid w:val="00260E34"/>
    <w:rsid w:val="002617A9"/>
    <w:rsid w:val="00266155"/>
    <w:rsid w:val="00273D34"/>
    <w:rsid w:val="00280118"/>
    <w:rsid w:val="00286EBF"/>
    <w:rsid w:val="002926C6"/>
    <w:rsid w:val="002C346A"/>
    <w:rsid w:val="002C72F0"/>
    <w:rsid w:val="003017E1"/>
    <w:rsid w:val="00347749"/>
    <w:rsid w:val="00362746"/>
    <w:rsid w:val="00363891"/>
    <w:rsid w:val="003763B0"/>
    <w:rsid w:val="0038003D"/>
    <w:rsid w:val="003863C8"/>
    <w:rsid w:val="00395B7D"/>
    <w:rsid w:val="00396349"/>
    <w:rsid w:val="003B6C1C"/>
    <w:rsid w:val="003C5A3F"/>
    <w:rsid w:val="003C6631"/>
    <w:rsid w:val="003E145E"/>
    <w:rsid w:val="003E1BB1"/>
    <w:rsid w:val="003F1D2C"/>
    <w:rsid w:val="00405685"/>
    <w:rsid w:val="004108B7"/>
    <w:rsid w:val="004214C5"/>
    <w:rsid w:val="00442115"/>
    <w:rsid w:val="0046445E"/>
    <w:rsid w:val="00467AA3"/>
    <w:rsid w:val="004708FA"/>
    <w:rsid w:val="00470DA9"/>
    <w:rsid w:val="00491624"/>
    <w:rsid w:val="0049428D"/>
    <w:rsid w:val="004D2E51"/>
    <w:rsid w:val="004D6092"/>
    <w:rsid w:val="004E6C07"/>
    <w:rsid w:val="0051399B"/>
    <w:rsid w:val="00525500"/>
    <w:rsid w:val="00543FDC"/>
    <w:rsid w:val="00577340"/>
    <w:rsid w:val="005B5F53"/>
    <w:rsid w:val="005B60D2"/>
    <w:rsid w:val="005B6BB6"/>
    <w:rsid w:val="005B739C"/>
    <w:rsid w:val="005C0A82"/>
    <w:rsid w:val="005E1091"/>
    <w:rsid w:val="005E3ACB"/>
    <w:rsid w:val="005F08A6"/>
    <w:rsid w:val="00622270"/>
    <w:rsid w:val="0063099B"/>
    <w:rsid w:val="006558E7"/>
    <w:rsid w:val="00666447"/>
    <w:rsid w:val="00695DC6"/>
    <w:rsid w:val="006B4919"/>
    <w:rsid w:val="006E11AE"/>
    <w:rsid w:val="006F5D1A"/>
    <w:rsid w:val="0070540A"/>
    <w:rsid w:val="00712A67"/>
    <w:rsid w:val="00727DBE"/>
    <w:rsid w:val="00766B50"/>
    <w:rsid w:val="007960F0"/>
    <w:rsid w:val="007A68E9"/>
    <w:rsid w:val="007B364F"/>
    <w:rsid w:val="007D67AB"/>
    <w:rsid w:val="007E20BC"/>
    <w:rsid w:val="008019F7"/>
    <w:rsid w:val="00802055"/>
    <w:rsid w:val="00813E45"/>
    <w:rsid w:val="0081697B"/>
    <w:rsid w:val="00820A75"/>
    <w:rsid w:val="00825913"/>
    <w:rsid w:val="00835D50"/>
    <w:rsid w:val="0086211C"/>
    <w:rsid w:val="00866619"/>
    <w:rsid w:val="00866BB6"/>
    <w:rsid w:val="008A4852"/>
    <w:rsid w:val="008B16A3"/>
    <w:rsid w:val="008E0AD4"/>
    <w:rsid w:val="008F742D"/>
    <w:rsid w:val="008F79A1"/>
    <w:rsid w:val="009037FF"/>
    <w:rsid w:val="00913F7A"/>
    <w:rsid w:val="00916592"/>
    <w:rsid w:val="00917C7E"/>
    <w:rsid w:val="0099160C"/>
    <w:rsid w:val="00992087"/>
    <w:rsid w:val="009964C1"/>
    <w:rsid w:val="009D40C1"/>
    <w:rsid w:val="009D538E"/>
    <w:rsid w:val="00A37207"/>
    <w:rsid w:val="00A44DFD"/>
    <w:rsid w:val="00A74A60"/>
    <w:rsid w:val="00A817A4"/>
    <w:rsid w:val="00A979D4"/>
    <w:rsid w:val="00AA378D"/>
    <w:rsid w:val="00AB3262"/>
    <w:rsid w:val="00AC5A8B"/>
    <w:rsid w:val="00AC6479"/>
    <w:rsid w:val="00AD5C01"/>
    <w:rsid w:val="00AE44C8"/>
    <w:rsid w:val="00AF3844"/>
    <w:rsid w:val="00AF6432"/>
    <w:rsid w:val="00B0102D"/>
    <w:rsid w:val="00B043CF"/>
    <w:rsid w:val="00B04A32"/>
    <w:rsid w:val="00B10ADB"/>
    <w:rsid w:val="00B10C0D"/>
    <w:rsid w:val="00B421C9"/>
    <w:rsid w:val="00B50F10"/>
    <w:rsid w:val="00BC534B"/>
    <w:rsid w:val="00BD773D"/>
    <w:rsid w:val="00BE46D7"/>
    <w:rsid w:val="00C05E5F"/>
    <w:rsid w:val="00C42DB4"/>
    <w:rsid w:val="00C46D92"/>
    <w:rsid w:val="00C62960"/>
    <w:rsid w:val="00C72E8A"/>
    <w:rsid w:val="00C76B01"/>
    <w:rsid w:val="00C8096A"/>
    <w:rsid w:val="00C8251A"/>
    <w:rsid w:val="00C86D7A"/>
    <w:rsid w:val="00CD34BC"/>
    <w:rsid w:val="00CF334E"/>
    <w:rsid w:val="00D40B3A"/>
    <w:rsid w:val="00D41BFD"/>
    <w:rsid w:val="00D510A8"/>
    <w:rsid w:val="00D52A85"/>
    <w:rsid w:val="00D643D3"/>
    <w:rsid w:val="00D95F1F"/>
    <w:rsid w:val="00DC07D5"/>
    <w:rsid w:val="00DD7D83"/>
    <w:rsid w:val="00DF6F79"/>
    <w:rsid w:val="00DF7B25"/>
    <w:rsid w:val="00E16D42"/>
    <w:rsid w:val="00E33D1E"/>
    <w:rsid w:val="00E3698E"/>
    <w:rsid w:val="00E5558F"/>
    <w:rsid w:val="00E80536"/>
    <w:rsid w:val="00E836FE"/>
    <w:rsid w:val="00E93C82"/>
    <w:rsid w:val="00EA088B"/>
    <w:rsid w:val="00EC54C2"/>
    <w:rsid w:val="00EE00D6"/>
    <w:rsid w:val="00EE7F21"/>
    <w:rsid w:val="00F01F99"/>
    <w:rsid w:val="00F142D6"/>
    <w:rsid w:val="00F272AF"/>
    <w:rsid w:val="00F312E1"/>
    <w:rsid w:val="00F41492"/>
    <w:rsid w:val="00F56F54"/>
    <w:rsid w:val="00F62002"/>
    <w:rsid w:val="00F620C8"/>
    <w:rsid w:val="00F62C86"/>
    <w:rsid w:val="00F71DF4"/>
    <w:rsid w:val="00F92EF3"/>
    <w:rsid w:val="00FA4E05"/>
    <w:rsid w:val="00FB4ADA"/>
    <w:rsid w:val="00FC58CD"/>
    <w:rsid w:val="00FD4E55"/>
    <w:rsid w:val="00FE07F0"/>
    <w:rsid w:val="00FE4BD2"/>
    <w:rsid w:val="00FE5741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0DDF"/>
  <w15:docId w15:val="{C6F89F6E-AEAA-48E2-BAF7-FB219770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7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1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37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4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gatour.com/article/news/how-it-works/fedexcup-fall-playoffs-standings-how-it-works-51-70-1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McGladrey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Palus, Joey</dc:creator>
  <cp:keywords/>
  <dc:description/>
  <cp:lastModifiedBy>Melanie Trotter</cp:lastModifiedBy>
  <cp:revision>2</cp:revision>
  <dcterms:created xsi:type="dcterms:W3CDTF">2023-10-17T12:01:00Z</dcterms:created>
  <dcterms:modified xsi:type="dcterms:W3CDTF">2023-10-17T12:01:00Z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</Properties>
</file>